
<file path=[Content_Types].xml><?xml version="1.0" encoding="utf-8"?>
<Types xmlns="http://schemas.openxmlformats.org/package/2006/content-types">
  <Default ContentType="application/xml" Extension="xml"/>
  <Default ContentType="image/jpeg" Extension="jpeg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2"/>
        <w:tblW w:type="auto" w:w="0"/>
        <w:tblLayout w:type="fixed"/>
        <w:tblCellMar>
          <w:left w:type="dxa" w:w="10"/>
          <w:right w:type="dxa" w:w="10"/>
        </w:tblCellMar>
      </w:tblPr>
      <w:tblGrid>
        <w:gridCol w:w="541"/>
        <w:gridCol w:w="1646"/>
        <w:gridCol w:w="2885"/>
        <w:gridCol w:w="2382"/>
        <w:gridCol w:w="687"/>
        <w:gridCol w:w="1498"/>
      </w:tblGrid>
      <w:tr>
        <w:trPr>
          <w:trHeight w:hRule="atLeast" w:val="360"/>
        </w:trPr>
        <w:tc>
          <w:tcPr>
            <w:tcW w:type="dxa" w:w="9639"/>
            <w:gridSpan w:val="6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3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drawing>
                <wp:inline>
                  <wp:extent cx="571500" cy="723897"/>
                  <wp:effectExtent b="0" l="0" r="0" t="0"/>
                  <wp:docPr hidden="false" id="2" name="Picture 2"/>
                  <a:graphic>
                    <a:graphicData uri="http://schemas.openxmlformats.org/drawingml/2006/picture">
                      <pic:pic>
                        <pic:nvPicPr>
                          <pic:cNvPr hidden="false" id="1" name="Picture 1"/>
                          <pic:cNvPicPr preferRelativeResize="true"/>
                        </pic:nvPicPr>
                        <pic:blipFill>
                          <a:blip r:embed="rId2"/>
                          <a:stretch/>
                        </pic:blipFill>
                        <pic:spPr>
                          <a:xfrm flipH="false" flipV="false" rot="0">
                            <a:ext cx="571500" cy="723897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 w14:paraId="04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b w:val="1"/>
                <w:caps w:val="1"/>
                <w:sz w:val="28"/>
              </w:rPr>
              <w:t>Дума Кашинского муниципального округа</w:t>
            </w:r>
          </w:p>
          <w:p w14:paraId="05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b w:val="1"/>
                <w:caps w:val="1"/>
                <w:sz w:val="28"/>
              </w:rPr>
              <w:t>ТВЕРСКОЙ ОБЛАСТИ</w:t>
            </w:r>
          </w:p>
          <w:p w14:paraId="06000000">
            <w:pPr>
              <w:widowControl w:val="1"/>
              <w:spacing w:after="120" w:before="120" w:line="240" w:lineRule="auto"/>
              <w:ind w:left="120" w:right="120"/>
              <w:jc w:val="center"/>
              <w:rPr>
                <w:rFonts w:ascii="XO Thames" w:hAnsi="XO Thames"/>
                <w:b w:val="1"/>
                <w:sz w:val="32"/>
              </w:rPr>
            </w:pPr>
          </w:p>
          <w:p w14:paraId="07000000">
            <w:pPr>
              <w:widowControl w:val="1"/>
              <w:spacing w:after="120" w:before="120" w:line="240" w:lineRule="auto"/>
              <w:ind w:left="120" w:right="120"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b w:val="1"/>
                <w:sz w:val="32"/>
              </w:rPr>
              <w:t>Р Е Ш Е Н И Е</w:t>
            </w:r>
          </w:p>
        </w:tc>
      </w:tr>
      <w:tr>
        <w:trPr>
          <w:trHeight w:hRule="atLeast" w:val="564"/>
        </w:trPr>
        <w:tc>
          <w:tcPr>
            <w:tcW w:type="dxa" w:w="541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8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от</w:t>
            </w:r>
          </w:p>
        </w:tc>
        <w:tc>
          <w:tcPr>
            <w:tcW w:type="dxa" w:w="1646"/>
            <w:tcBorders>
              <w:bottom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9000000">
            <w:pPr>
              <w:widowControl w:val="1"/>
              <w:spacing w:after="0" w:line="240" w:lineRule="auto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09.06.2026</w:t>
            </w:r>
          </w:p>
        </w:tc>
        <w:tc>
          <w:tcPr>
            <w:tcW w:type="dxa" w:w="5267"/>
            <w:gridSpan w:val="2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A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г. Кашин</w:t>
            </w:r>
          </w:p>
        </w:tc>
        <w:tc>
          <w:tcPr>
            <w:tcW w:type="dxa" w:w="687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B000000">
            <w:pPr>
              <w:widowControl w:val="1"/>
              <w:spacing w:after="0" w:line="240" w:lineRule="auto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№</w:t>
            </w:r>
          </w:p>
        </w:tc>
        <w:tc>
          <w:tcPr>
            <w:tcW w:type="dxa" w:w="1498"/>
            <w:tcBorders>
              <w:bottom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C000000">
            <w:pPr>
              <w:widowControl w:val="1"/>
              <w:spacing w:after="0" w:line="240" w:lineRule="auto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217</w:t>
            </w:r>
          </w:p>
        </w:tc>
      </w:tr>
      <w:tr>
        <w:trPr>
          <w:trHeight w:hRule="atLeast" w:val="360"/>
        </w:trPr>
        <w:tc>
          <w:tcPr>
            <w:tcW w:type="dxa" w:w="9639"/>
            <w:gridSpan w:val="6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D000000">
            <w:pPr>
              <w:widowControl w:val="1"/>
              <w:spacing w:after="0" w:line="240" w:lineRule="auto"/>
              <w:ind/>
              <w:jc w:val="both"/>
              <w:rPr>
                <w:rFonts w:ascii="XO Thames" w:hAnsi="XO Thames"/>
                <w:sz w:val="28"/>
              </w:rPr>
            </w:pPr>
          </w:p>
        </w:tc>
      </w:tr>
      <w:tr>
        <w:trPr>
          <w:trHeight w:hRule="atLeast" w:val="615"/>
        </w:trPr>
        <w:tc>
          <w:tcPr>
            <w:tcW w:type="dxa" w:w="5072"/>
            <w:gridSpan w:val="3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E000000">
            <w:pPr>
              <w:widowControl w:val="1"/>
              <w:spacing w:after="0" w:line="240" w:lineRule="auto"/>
              <w:ind/>
              <w:jc w:val="both"/>
              <w:rPr>
                <w:rFonts w:ascii="XO Thames" w:hAnsi="XO Thames"/>
                <w:sz w:val="28"/>
              </w:rPr>
            </w:pPr>
            <w:bookmarkStart w:id="1" w:name="_Hlk203997375"/>
            <w:r>
              <w:rPr>
                <w:rFonts w:ascii="Times New Roman" w:hAnsi="Times New Roman"/>
                <w:sz w:val="24"/>
              </w:rPr>
              <w:t xml:space="preserve">О внесении изменений в прогнозный план (программу) приватизации муниципального имущества муниципального </w:t>
            </w:r>
            <w:r>
              <w:rPr>
                <w:rFonts w:ascii="Times New Roman" w:hAnsi="Times New Roman"/>
                <w:sz w:val="24"/>
              </w:rPr>
              <w:t xml:space="preserve">образования  </w:t>
            </w:r>
            <w:r>
              <w:rPr>
                <w:rFonts w:ascii="Times New Roman" w:hAnsi="Times New Roman"/>
                <w:sz w:val="24"/>
              </w:rPr>
              <w:t>Кашинский</w:t>
            </w:r>
            <w:r>
              <w:rPr>
                <w:rFonts w:ascii="Times New Roman" w:hAnsi="Times New Roman"/>
                <w:sz w:val="24"/>
              </w:rPr>
              <w:t xml:space="preserve"> муниципальный округ Тверской области  на 202</w:t>
            </w:r>
            <w:r>
              <w:rPr>
                <w:rFonts w:ascii="Times New Roman" w:hAnsi="Times New Roman"/>
                <w:sz w:val="24"/>
              </w:rPr>
              <w:t>6</w:t>
            </w:r>
            <w:r>
              <w:rPr>
                <w:rFonts w:ascii="Times New Roman" w:hAnsi="Times New Roman"/>
                <w:sz w:val="24"/>
              </w:rPr>
              <w:t>–202</w:t>
            </w:r>
            <w:r>
              <w:rPr>
                <w:rFonts w:ascii="Times New Roman" w:hAnsi="Times New Roman"/>
                <w:sz w:val="24"/>
              </w:rPr>
              <w:t>8</w:t>
            </w:r>
            <w:r>
              <w:rPr>
                <w:rFonts w:ascii="Times New Roman" w:hAnsi="Times New Roman"/>
                <w:sz w:val="24"/>
              </w:rPr>
              <w:t xml:space="preserve"> годы </w:t>
            </w:r>
            <w:bookmarkEnd w:id="1"/>
          </w:p>
        </w:tc>
        <w:tc>
          <w:tcPr>
            <w:tcW w:type="dxa" w:w="4567"/>
            <w:gridSpan w:val="3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F000000">
            <w:pPr>
              <w:widowControl w:val="1"/>
              <w:spacing w:after="0" w:line="240" w:lineRule="auto"/>
              <w:ind/>
              <w:jc w:val="both"/>
              <w:rPr>
                <w:rFonts w:ascii="XO Thames" w:hAnsi="XO Thames"/>
                <w:sz w:val="28"/>
              </w:rPr>
            </w:pPr>
          </w:p>
        </w:tc>
      </w:tr>
    </w:tbl>
    <w:p w14:paraId="10000000">
      <w:pPr>
        <w:widowControl w:val="1"/>
        <w:spacing w:after="0" w:line="240" w:lineRule="auto"/>
        <w:ind/>
        <w:jc w:val="both"/>
        <w:rPr>
          <w:rFonts w:ascii="XO Thames" w:hAnsi="XO Thames"/>
          <w:sz w:val="28"/>
        </w:rPr>
      </w:pPr>
    </w:p>
    <w:p w14:paraId="11000000">
      <w:pPr>
        <w:widowControl w:val="1"/>
        <w:spacing w:after="0" w:line="240" w:lineRule="auto"/>
        <w:ind w:firstLine="709"/>
        <w:jc w:val="both"/>
        <w:rPr>
          <w:rFonts w:ascii="XO Thames" w:hAnsi="XO Thames"/>
          <w:sz w:val="28"/>
        </w:rPr>
      </w:pPr>
    </w:p>
    <w:p w14:paraId="12000000">
      <w:pPr>
        <w:widowControl w:val="1"/>
        <w:spacing w:after="0" w:line="240" w:lineRule="auto"/>
        <w:ind w:firstLine="709"/>
        <w:jc w:val="both"/>
        <w:rPr>
          <w:rFonts w:ascii="XO Thames" w:hAnsi="XO Thames"/>
          <w:sz w:val="28"/>
        </w:rPr>
      </w:pPr>
    </w:p>
    <w:p w14:paraId="13000000">
      <w:pPr>
        <w:widowControl w:val="0"/>
        <w:tabs>
          <w:tab w:leader="none" w:pos="10205" w:val="left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 Федеральным законом  от 21.12.2001 № 178-ФЗ «О приватизации государственного и муниципального имущества», Правилами разработки прогнозных планов (программ) приватизации государственного и муниципального имущества, утвержденными постановлением Правительства Российской Федерации от 26.12.2005 № 806, Уставом Кашинского муниципального округа Тверской области, Порядком  управления и распоряжения имуществом, находящимся в муниципальной собственности муниципального образования  </w:t>
      </w:r>
      <w:r>
        <w:rPr>
          <w:rFonts w:ascii="Times New Roman" w:hAnsi="Times New Roman"/>
          <w:sz w:val="28"/>
        </w:rPr>
        <w:t>Кашинский</w:t>
      </w:r>
      <w:r>
        <w:rPr>
          <w:rFonts w:ascii="Times New Roman" w:hAnsi="Times New Roman"/>
          <w:sz w:val="28"/>
        </w:rPr>
        <w:t xml:space="preserve"> городской округ Тверской области, утвержденным решением </w:t>
      </w:r>
      <w:r>
        <w:rPr>
          <w:rFonts w:ascii="Times New Roman" w:hAnsi="Times New Roman"/>
          <w:sz w:val="28"/>
        </w:rPr>
        <w:t>Кашинской</w:t>
      </w:r>
      <w:r>
        <w:rPr>
          <w:rFonts w:ascii="Times New Roman" w:hAnsi="Times New Roman"/>
          <w:sz w:val="28"/>
        </w:rPr>
        <w:t xml:space="preserve"> городской Думы от 12.02.2019 № 110, Порядком планирования приватизации муниципального имущества муниципального образования </w:t>
      </w:r>
      <w:r>
        <w:rPr>
          <w:rFonts w:ascii="Times New Roman" w:hAnsi="Times New Roman"/>
          <w:sz w:val="28"/>
        </w:rPr>
        <w:t>Кашинский</w:t>
      </w:r>
      <w:r>
        <w:rPr>
          <w:rFonts w:ascii="Times New Roman" w:hAnsi="Times New Roman"/>
          <w:sz w:val="28"/>
        </w:rPr>
        <w:t xml:space="preserve"> городской округ Тверской области, утвержденным решением </w:t>
      </w:r>
      <w:r>
        <w:rPr>
          <w:rFonts w:ascii="Times New Roman" w:hAnsi="Times New Roman"/>
          <w:sz w:val="28"/>
        </w:rPr>
        <w:t>Кашинской</w:t>
      </w:r>
      <w:r>
        <w:rPr>
          <w:rFonts w:ascii="Times New Roman" w:hAnsi="Times New Roman"/>
          <w:sz w:val="28"/>
        </w:rPr>
        <w:t xml:space="preserve"> городской Думы от 27.12.2023 № 34 </w:t>
      </w:r>
    </w:p>
    <w:p w14:paraId="14000000">
      <w:pPr>
        <w:widowControl w:val="1"/>
        <w:spacing w:after="0" w:line="240" w:lineRule="auto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 </w:t>
      </w:r>
    </w:p>
    <w:p w14:paraId="15000000">
      <w:pPr>
        <w:widowControl w:val="1"/>
        <w:spacing w:after="0" w:line="240" w:lineRule="auto"/>
        <w:ind/>
        <w:jc w:val="center"/>
        <w:rPr>
          <w:rFonts w:ascii="XO Thames" w:hAnsi="XO Thames"/>
          <w:sz w:val="28"/>
        </w:rPr>
      </w:pPr>
      <w:r>
        <w:rPr>
          <w:rFonts w:ascii="XO Thames" w:hAnsi="XO Thames"/>
          <w:b w:val="1"/>
          <w:caps w:val="1"/>
          <w:sz w:val="28"/>
        </w:rPr>
        <w:t>Дума Кашинского муниципального округа</w:t>
      </w:r>
    </w:p>
    <w:p w14:paraId="16000000">
      <w:pPr>
        <w:widowControl w:val="1"/>
        <w:spacing w:after="0" w:line="240" w:lineRule="auto"/>
        <w:ind/>
        <w:jc w:val="center"/>
        <w:rPr>
          <w:rFonts w:ascii="XO Thames" w:hAnsi="XO Thames"/>
          <w:sz w:val="28"/>
        </w:rPr>
      </w:pPr>
      <w:r>
        <w:rPr>
          <w:rFonts w:ascii="XO Thames" w:hAnsi="XO Thames"/>
          <w:b w:val="1"/>
          <w:caps w:val="1"/>
          <w:sz w:val="28"/>
        </w:rPr>
        <w:t>ТВЕРСКОЙ ОБЛАСТИ</w:t>
      </w:r>
      <w:r>
        <w:rPr>
          <w:rFonts w:ascii="XO Thames" w:hAnsi="XO Thames"/>
          <w:b w:val="1"/>
          <w:sz w:val="28"/>
        </w:rPr>
        <w:t xml:space="preserve"> РЕШИЛА: </w:t>
      </w:r>
    </w:p>
    <w:p w14:paraId="17000000">
      <w:pPr>
        <w:widowControl w:val="1"/>
        <w:spacing w:after="0" w:line="240" w:lineRule="auto"/>
        <w:ind/>
        <w:jc w:val="both"/>
        <w:rPr>
          <w:rFonts w:ascii="XO Thames" w:hAnsi="XO Thames"/>
          <w:sz w:val="28"/>
        </w:rPr>
      </w:pPr>
    </w:p>
    <w:p w14:paraId="18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 Внести в прогнозный план (программу) приватизации муниципального имущества муниципального образования </w:t>
      </w:r>
      <w:r>
        <w:rPr>
          <w:rFonts w:ascii="Times New Roman" w:hAnsi="Times New Roman"/>
          <w:sz w:val="28"/>
        </w:rPr>
        <w:t>Кашинский</w:t>
      </w:r>
      <w:r>
        <w:rPr>
          <w:rFonts w:ascii="Times New Roman" w:hAnsi="Times New Roman"/>
          <w:sz w:val="28"/>
        </w:rPr>
        <w:t xml:space="preserve"> муниципальный округ Тверской области на 202</w:t>
      </w:r>
      <w:r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–202</w:t>
      </w:r>
      <w:r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 xml:space="preserve"> годы, утвержденный решением Думы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Кашинского муниципального округа Тверской области</w:t>
      </w:r>
      <w:r>
        <w:rPr>
          <w:rFonts w:ascii="Times New Roman" w:hAnsi="Times New Roman"/>
          <w:sz w:val="28"/>
        </w:rPr>
        <w:t xml:space="preserve"> от </w:t>
      </w:r>
      <w:r>
        <w:rPr>
          <w:rFonts w:ascii="Times New Roman" w:hAnsi="Times New Roman"/>
          <w:sz w:val="28"/>
        </w:rPr>
        <w:t>16</w:t>
      </w:r>
      <w:r>
        <w:rPr>
          <w:rFonts w:ascii="Times New Roman" w:hAnsi="Times New Roman"/>
          <w:sz w:val="28"/>
        </w:rPr>
        <w:t>.12.202</w:t>
      </w: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№ </w:t>
      </w:r>
      <w:r>
        <w:rPr>
          <w:rFonts w:ascii="Times New Roman" w:hAnsi="Times New Roman"/>
          <w:sz w:val="28"/>
        </w:rPr>
        <w:t>191</w:t>
      </w:r>
      <w:r>
        <w:rPr>
          <w:rFonts w:ascii="Times New Roman" w:hAnsi="Times New Roman"/>
          <w:sz w:val="28"/>
        </w:rPr>
        <w:t xml:space="preserve"> «</w:t>
      </w:r>
      <w:r>
        <w:rPr>
          <w:rFonts w:ascii="Times New Roman" w:hAnsi="Times New Roman"/>
          <w:sz w:val="28"/>
        </w:rPr>
        <w:t xml:space="preserve">Об утверждении прогнозного плана (программы) приватизации муниципального имущества муниципального образования </w:t>
      </w:r>
      <w:r>
        <w:rPr>
          <w:rFonts w:ascii="Times New Roman" w:hAnsi="Times New Roman"/>
          <w:sz w:val="28"/>
        </w:rPr>
        <w:t>Кашинский</w:t>
      </w:r>
      <w:r>
        <w:rPr>
          <w:rFonts w:ascii="Times New Roman" w:hAnsi="Times New Roman"/>
          <w:sz w:val="28"/>
        </w:rPr>
        <w:t xml:space="preserve"> муниципальный округ Тверской области на 2026–2028 годы</w:t>
      </w:r>
      <w:r>
        <w:rPr>
          <w:rFonts w:ascii="Times New Roman" w:hAnsi="Times New Roman"/>
          <w:sz w:val="28"/>
        </w:rPr>
        <w:t>», изменения, изложив его в новой редакции (в соответствии с приложением к настоящему решению).</w:t>
      </w:r>
    </w:p>
    <w:p w14:paraId="19000000">
      <w:pPr>
        <w:widowControl w:val="1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 Настоящее решение подлежит официальному опубликованию в газете «</w:t>
      </w:r>
      <w:r>
        <w:rPr>
          <w:rFonts w:ascii="Times New Roman" w:hAnsi="Times New Roman"/>
          <w:sz w:val="28"/>
        </w:rPr>
        <w:t>Кашинская</w:t>
      </w:r>
      <w:r>
        <w:rPr>
          <w:rFonts w:ascii="Times New Roman" w:hAnsi="Times New Roman"/>
          <w:sz w:val="28"/>
        </w:rPr>
        <w:t xml:space="preserve"> газета» и размещению на официальном сайте Российской </w:t>
      </w:r>
      <w:r>
        <w:rPr>
          <w:rFonts w:ascii="Times New Roman" w:hAnsi="Times New Roman"/>
          <w:sz w:val="28"/>
        </w:rPr>
        <w:t>Федерации в 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на официальном сайте Кашинского муниципального округа Тверской области в информационно-телекоммуникационной сети «Интернет».</w:t>
      </w:r>
    </w:p>
    <w:p w14:paraId="1A000000">
      <w:pPr>
        <w:widowControl w:val="1"/>
        <w:spacing w:after="0" w:line="240" w:lineRule="auto"/>
        <w:ind w:firstLine="708"/>
        <w:jc w:val="both"/>
        <w:rPr>
          <w:rFonts w:ascii="XO Thames" w:hAnsi="XO Thames"/>
          <w:sz w:val="28"/>
        </w:rPr>
      </w:pPr>
      <w:r>
        <w:rPr>
          <w:rFonts w:ascii="Times New Roman" w:hAnsi="Times New Roman"/>
          <w:sz w:val="28"/>
        </w:rPr>
        <w:t>3. Настоящее решение вступает в силу со дня его официального опубликования в газете «</w:t>
      </w:r>
      <w:r>
        <w:rPr>
          <w:rFonts w:ascii="Times New Roman" w:hAnsi="Times New Roman"/>
          <w:sz w:val="28"/>
        </w:rPr>
        <w:t>Кашинская</w:t>
      </w:r>
      <w:r>
        <w:rPr>
          <w:rFonts w:ascii="Times New Roman" w:hAnsi="Times New Roman"/>
          <w:sz w:val="28"/>
        </w:rPr>
        <w:t xml:space="preserve"> газета».</w:t>
      </w:r>
    </w:p>
    <w:p w14:paraId="1B000000">
      <w:pPr>
        <w:widowControl w:val="1"/>
        <w:spacing w:after="0" w:line="240" w:lineRule="auto"/>
        <w:ind/>
        <w:jc w:val="both"/>
        <w:rPr>
          <w:rFonts w:ascii="XO Thames" w:hAnsi="XO Thames"/>
          <w:sz w:val="28"/>
        </w:rPr>
      </w:pPr>
    </w:p>
    <w:p w14:paraId="1C000000">
      <w:pPr>
        <w:widowControl w:val="1"/>
        <w:spacing w:after="0" w:line="240" w:lineRule="auto"/>
        <w:ind/>
        <w:jc w:val="both"/>
        <w:rPr>
          <w:rFonts w:ascii="XO Thames" w:hAnsi="XO Thames"/>
          <w:sz w:val="28"/>
        </w:rPr>
      </w:pPr>
    </w:p>
    <w:p w14:paraId="1D000000">
      <w:pPr>
        <w:widowControl w:val="1"/>
        <w:spacing w:after="0" w:line="240" w:lineRule="auto"/>
        <w:ind/>
        <w:jc w:val="both"/>
        <w:rPr>
          <w:rFonts w:ascii="XO Thames" w:hAnsi="XO Thames"/>
          <w:sz w:val="28"/>
        </w:rPr>
      </w:pPr>
    </w:p>
    <w:tbl>
      <w:tblPr>
        <w:tblStyle w:val="Style_2"/>
        <w:tblW w:type="auto" w:w="0"/>
        <w:tblLayout w:type="fixed"/>
        <w:tblCellMar>
          <w:left w:type="dxa" w:w="10"/>
          <w:right w:type="dxa" w:w="10"/>
        </w:tblCellMar>
      </w:tblPr>
      <w:tblGrid>
        <w:gridCol w:w="5509"/>
        <w:gridCol w:w="4129"/>
      </w:tblGrid>
      <w:tr>
        <w:tc>
          <w:tcPr>
            <w:tcW w:type="dxa" w:w="5509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00000">
            <w:pPr>
              <w:widowControl w:val="0"/>
              <w:spacing w:after="0" w:line="240" w:lineRule="auto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Председатель Думы Кашинского</w:t>
            </w:r>
          </w:p>
          <w:p w14:paraId="1F000000">
            <w:pPr>
              <w:widowControl w:val="1"/>
              <w:spacing w:after="0" w:line="240" w:lineRule="auto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муниципального округа Тверской области</w:t>
            </w:r>
          </w:p>
        </w:tc>
        <w:tc>
          <w:tcPr>
            <w:tcW w:type="dxa" w:w="4129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20000000">
            <w:pPr>
              <w:widowControl w:val="1"/>
              <w:spacing w:after="0" w:line="240" w:lineRule="auto"/>
              <w:ind/>
              <w:jc w:val="right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И.А. Мурашова</w:t>
            </w:r>
          </w:p>
        </w:tc>
      </w:tr>
    </w:tbl>
    <w:p w14:paraId="21000000">
      <w:pPr>
        <w:widowControl w:val="1"/>
        <w:spacing w:after="0" w:line="240" w:lineRule="auto"/>
        <w:ind/>
        <w:jc w:val="both"/>
        <w:rPr>
          <w:rFonts w:ascii="XO Thames" w:hAnsi="XO Thames"/>
          <w:sz w:val="28"/>
        </w:rPr>
      </w:pPr>
      <w:bookmarkStart w:id="2" w:name="_GoBack"/>
      <w:bookmarkEnd w:id="2"/>
    </w:p>
    <w:tbl>
      <w:tblPr>
        <w:tblStyle w:val="Style_2"/>
        <w:tblW w:type="auto" w:w="0"/>
        <w:tblLayout w:type="fixed"/>
        <w:tblCellMar>
          <w:left w:type="dxa" w:w="10"/>
          <w:right w:type="dxa" w:w="10"/>
        </w:tblCellMar>
      </w:tblPr>
      <w:tblGrid>
        <w:gridCol w:w="7088"/>
        <w:gridCol w:w="2552"/>
      </w:tblGrid>
      <w:tr>
        <w:tc>
          <w:tcPr>
            <w:tcW w:type="dxa" w:w="7088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2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 Кашинского муниципального округа</w:t>
            </w:r>
          </w:p>
          <w:p w14:paraId="23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Тверской области</w:t>
            </w:r>
          </w:p>
        </w:tc>
        <w:tc>
          <w:tcPr>
            <w:tcW w:type="dxa" w:w="2552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24000000">
            <w:pPr>
              <w:widowControl w:val="1"/>
              <w:spacing w:after="0" w:line="240" w:lineRule="auto"/>
              <w:ind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</w:t>
            </w:r>
            <w:r>
              <w:rPr>
                <w:rFonts w:ascii="Times New Roman" w:hAnsi="Times New Roman"/>
                <w:sz w:val="28"/>
              </w:rPr>
              <w:t xml:space="preserve">.В. </w:t>
            </w:r>
            <w:r>
              <w:rPr>
                <w:rFonts w:ascii="Times New Roman" w:hAnsi="Times New Roman"/>
                <w:sz w:val="28"/>
              </w:rPr>
              <w:t>Рагузин</w:t>
            </w:r>
          </w:p>
        </w:tc>
      </w:tr>
    </w:tbl>
    <w:p w14:paraId="25000000">
      <w:pPr>
        <w:widowControl w:val="1"/>
        <w:spacing w:after="0" w:line="240" w:lineRule="auto"/>
        <w:ind/>
        <w:jc w:val="both"/>
        <w:rPr>
          <w:rFonts w:ascii="XO Thames" w:hAnsi="XO Thames"/>
          <w:sz w:val="28"/>
        </w:rPr>
      </w:pPr>
    </w:p>
    <w:p w14:paraId="26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27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28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29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2A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2B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2C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2D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2E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2F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30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31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32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33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34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35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36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37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38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39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3A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3B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3C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3D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3E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3F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40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41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42000000">
      <w:pPr>
        <w:widowControl w:val="1"/>
        <w:spacing w:after="0" w:line="240" w:lineRule="auto"/>
        <w:ind/>
        <w:rPr>
          <w:rFonts w:ascii="XO Thames" w:hAnsi="XO Thames"/>
          <w:sz w:val="24"/>
        </w:rPr>
      </w:pPr>
    </w:p>
    <w:p w14:paraId="43000000">
      <w:pPr>
        <w:widowControl w:val="1"/>
        <w:spacing w:after="200" w:line="276" w:lineRule="auto"/>
        <w:ind w:left="-1134" w:right="1133"/>
        <w:rPr>
          <w:rFonts w:ascii="Times New Roman" w:hAnsi="Times New Roman"/>
          <w:sz w:val="28"/>
        </w:rPr>
      </w:pPr>
    </w:p>
    <w:p w14:paraId="44000000">
      <w:pPr>
        <w:widowControl w:val="1"/>
        <w:spacing w:after="200" w:line="276" w:lineRule="auto"/>
        <w:ind w:left="-1134" w:right="1133"/>
        <w:rPr>
          <w:rFonts w:ascii="Times New Roman" w:hAnsi="Times New Roman"/>
          <w:sz w:val="28"/>
        </w:rPr>
      </w:pPr>
    </w:p>
    <w:p w14:paraId="45000000">
      <w:pPr>
        <w:widowControl w:val="1"/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Лист согласования</w:t>
      </w:r>
    </w:p>
    <w:p w14:paraId="46000000">
      <w:pPr>
        <w:widowControl w:val="1"/>
        <w:spacing w:after="0" w:line="240" w:lineRule="auto"/>
        <w:ind/>
        <w:rPr>
          <w:rFonts w:ascii="Times New Roman" w:hAnsi="Times New Roman"/>
          <w:sz w:val="28"/>
        </w:rPr>
      </w:pPr>
    </w:p>
    <w:p w14:paraId="47000000">
      <w:pPr>
        <w:widowControl w:val="1"/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решению Думы Кашинского муниципального округа Тверской области от________________№ ______ «О внесении изменений в прогнозный план (программу) приватизации муниципального имущества муниципального образования  </w:t>
      </w:r>
      <w:r>
        <w:rPr>
          <w:rFonts w:ascii="Times New Roman" w:hAnsi="Times New Roman"/>
          <w:sz w:val="28"/>
        </w:rPr>
        <w:t>Кашинский</w:t>
      </w:r>
      <w:r>
        <w:rPr>
          <w:rFonts w:ascii="Times New Roman" w:hAnsi="Times New Roman"/>
          <w:sz w:val="28"/>
        </w:rPr>
        <w:t xml:space="preserve"> муниципальный округ Тверской области  на 202</w:t>
      </w:r>
      <w:r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–202</w:t>
      </w:r>
      <w:r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 xml:space="preserve"> годы </w:t>
      </w:r>
    </w:p>
    <w:p w14:paraId="48000000">
      <w:pPr>
        <w:widowControl w:val="1"/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49000000">
      <w:pPr>
        <w:widowControl w:val="1"/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Заместитель Главы Администрации </w:t>
      </w:r>
    </w:p>
    <w:p w14:paraId="4A000000">
      <w:pPr>
        <w:widowControl w:val="1"/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Кашинского муниципального округа </w:t>
      </w:r>
    </w:p>
    <w:p w14:paraId="4B000000">
      <w:pPr>
        <w:widowControl w:val="1"/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Тверской области, начальник</w:t>
      </w:r>
    </w:p>
    <w:p w14:paraId="4C000000">
      <w:pPr>
        <w:widowControl w:val="1"/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Финансового управления                                                                     С.В. Суханова</w:t>
      </w:r>
    </w:p>
    <w:p w14:paraId="4D000000">
      <w:pPr>
        <w:widowControl w:val="1"/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«_____» ______________ 202</w:t>
      </w:r>
      <w:r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года</w:t>
      </w:r>
    </w:p>
    <w:p w14:paraId="4E000000">
      <w:pPr>
        <w:widowControl w:val="1"/>
        <w:spacing w:after="0" w:line="240" w:lineRule="auto"/>
        <w:ind/>
        <w:rPr>
          <w:rFonts w:ascii="Times New Roman" w:hAnsi="Times New Roman"/>
          <w:sz w:val="28"/>
        </w:rPr>
      </w:pPr>
    </w:p>
    <w:p w14:paraId="4F000000">
      <w:pPr>
        <w:widowControl w:val="1"/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Председатель Комитета по управлению </w:t>
      </w:r>
    </w:p>
    <w:p w14:paraId="50000000">
      <w:pPr>
        <w:widowControl w:val="1"/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имуществом Администрации Кашинского </w:t>
      </w:r>
    </w:p>
    <w:p w14:paraId="51000000">
      <w:pPr>
        <w:widowControl w:val="1"/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округа Тверской области                                        О.А. </w:t>
      </w:r>
      <w:r>
        <w:rPr>
          <w:rFonts w:ascii="Times New Roman" w:hAnsi="Times New Roman"/>
          <w:sz w:val="28"/>
        </w:rPr>
        <w:t>Стионова</w:t>
      </w:r>
    </w:p>
    <w:p w14:paraId="52000000">
      <w:pPr>
        <w:widowControl w:val="1"/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«_____» ______________ 202</w:t>
      </w:r>
      <w:r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года</w:t>
      </w:r>
    </w:p>
    <w:p w14:paraId="53000000">
      <w:pPr>
        <w:widowControl w:val="1"/>
        <w:spacing w:after="0" w:line="240" w:lineRule="auto"/>
        <w:ind/>
        <w:rPr>
          <w:rFonts w:ascii="Times New Roman" w:hAnsi="Times New Roman"/>
          <w:sz w:val="28"/>
        </w:rPr>
      </w:pPr>
    </w:p>
    <w:p w14:paraId="54000000">
      <w:pPr>
        <w:widowControl w:val="1"/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Заместитель председателя Комитета по </w:t>
      </w:r>
    </w:p>
    <w:p w14:paraId="55000000">
      <w:pPr>
        <w:widowControl w:val="1"/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управлению имуществом Администрации</w:t>
      </w:r>
    </w:p>
    <w:p w14:paraId="56000000">
      <w:pPr>
        <w:widowControl w:val="1"/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Кашинского муниципального округа</w:t>
      </w:r>
    </w:p>
    <w:p w14:paraId="57000000">
      <w:pPr>
        <w:widowControl w:val="1"/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Тверской области   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                                Е.А. Королева</w:t>
      </w:r>
    </w:p>
    <w:p w14:paraId="58000000">
      <w:pPr>
        <w:widowControl w:val="1"/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«_____» ______________ 202</w:t>
      </w:r>
      <w:r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года</w:t>
      </w:r>
    </w:p>
    <w:p w14:paraId="59000000">
      <w:pPr>
        <w:widowControl w:val="1"/>
        <w:spacing w:after="0" w:line="240" w:lineRule="auto"/>
        <w:ind/>
        <w:rPr>
          <w:rFonts w:ascii="Times New Roman" w:hAnsi="Times New Roman"/>
          <w:sz w:val="28"/>
        </w:rPr>
      </w:pPr>
    </w:p>
    <w:p w14:paraId="5A000000">
      <w:pPr>
        <w:widowControl w:val="1"/>
        <w:tabs>
          <w:tab w:leader="none" w:pos="8505" w:val="left"/>
        </w:tabs>
        <w:spacing w:after="0" w:line="240" w:lineRule="auto"/>
        <w:ind w:right="1133"/>
        <w:rPr>
          <w:rFonts w:ascii="Times New Roman" w:hAnsi="Times New Roman"/>
          <w:sz w:val="28"/>
        </w:rPr>
      </w:pPr>
    </w:p>
    <w:p w14:paraId="5B000000">
      <w:pPr>
        <w:widowControl w:val="1"/>
        <w:tabs>
          <w:tab w:leader="none" w:pos="8505" w:val="left"/>
        </w:tabs>
        <w:spacing w:after="0" w:line="240" w:lineRule="auto"/>
        <w:ind w:right="1133"/>
        <w:rPr>
          <w:rFonts w:ascii="Times New Roman" w:hAnsi="Times New Roman"/>
          <w:sz w:val="28"/>
        </w:rPr>
      </w:pPr>
    </w:p>
    <w:p w14:paraId="5C000000">
      <w:pPr>
        <w:widowControl w:val="1"/>
        <w:tabs>
          <w:tab w:leader="none" w:pos="8505" w:val="left"/>
        </w:tabs>
        <w:spacing w:after="0" w:line="240" w:lineRule="auto"/>
        <w:ind/>
        <w:rPr>
          <w:rFonts w:ascii="XO Thames" w:hAnsi="XO Thames"/>
          <w:sz w:val="24"/>
        </w:rPr>
      </w:pPr>
    </w:p>
    <w:p w14:paraId="5D000000"/>
    <w:sectPr>
      <w:headerReference r:id="rId1" w:type="default"/>
      <w:pgSz w:h="16848" w:orient="portrait" w:w="11908"/>
      <w:pgMar w:bottom="1134" w:footer="720" w:gutter="0" w:header="720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</w:pPr>
  </w:p>
  <w:p w14:paraId="02000000"/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rPr>
      <w:color w:val="000000"/>
    </w:rPr>
  </w:style>
  <w:style w:default="1" w:styleId="Style_3_ch" w:type="character">
    <w:name w:val="Normal"/>
    <w:link w:val="Style_3"/>
    <w:rPr>
      <w:color w:val="000000"/>
    </w:rPr>
  </w:style>
  <w:style w:styleId="Style_4" w:type="paragraph">
    <w:name w:val="toc 2"/>
    <w:next w:val="Style_3"/>
    <w:link w:val="Style_4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1" w:type="paragraph">
    <w:name w:val="header"/>
    <w:basedOn w:val="Style_3"/>
    <w:link w:val="Style_1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  <w:rPr>
      <w:rFonts w:ascii="XO Thames" w:hAnsi="XO Thames"/>
      <w:sz w:val="24"/>
    </w:rPr>
  </w:style>
  <w:style w:styleId="Style_1_ch" w:type="character">
    <w:name w:val="header"/>
    <w:basedOn w:val="Style_3_ch"/>
    <w:link w:val="Style_1"/>
    <w:rPr>
      <w:rFonts w:ascii="XO Thames" w:hAnsi="XO Thames"/>
      <w:sz w:val="24"/>
    </w:rPr>
  </w:style>
  <w:style w:styleId="Style_8" w:type="paragraph">
    <w:name w:val="Endnote"/>
    <w:link w:val="Style_8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3"/>
    <w:link w:val="Style_9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toc 3"/>
    <w:next w:val="Style_3"/>
    <w:link w:val="Style_10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3"/>
    <w:link w:val="Style_11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3"/>
    <w:link w:val="Style_12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3"/>
    <w:link w:val="Style_15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3"/>
    <w:link w:val="Style_17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3"/>
    <w:link w:val="Style_18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3"/>
    <w:link w:val="Style_19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Subtitle"/>
    <w:next w:val="Style_3"/>
    <w:link w:val="Style_20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Default Paragraph Font"/>
    <w:link w:val="Style_21_ch"/>
  </w:style>
  <w:style w:styleId="Style_21_ch" w:type="character">
    <w:name w:val="Default Paragraph Font"/>
    <w:link w:val="Style_21"/>
  </w:style>
  <w:style w:styleId="Style_22" w:type="paragraph">
    <w:name w:val="Title"/>
    <w:next w:val="Style_3"/>
    <w:link w:val="Style_22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3"/>
    <w:link w:val="Style_23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3"/>
    <w:link w:val="Style_24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ettings.xml" Type="http://schemas.openxmlformats.org/officeDocument/2006/relationships/settings"/>
  <Relationship Id="rId1" Target="header1.xml" Type="http://schemas.openxmlformats.org/officeDocument/2006/relationships/header"/>
  <Relationship Id="rId8" Target="theme/theme1.xml" Type="http://schemas.openxmlformats.org/officeDocument/2006/relationships/theme"/>
  <Relationship Id="rId7" Target="webSettings.xml" Type="http://schemas.openxmlformats.org/officeDocument/2006/relationships/webSettings"/>
  <Relationship Id="rId5" Target="styles.xml" Type="http://schemas.openxmlformats.org/officeDocument/2006/relationships/styles"/>
  <Relationship Id="rId3" Target="fontTable.xml" Type="http://schemas.openxmlformats.org/officeDocument/2006/relationships/fontTable"/>
  <Relationship Id="rId2" Target="media/1.jpeg" Type="http://schemas.openxmlformats.org/officeDocument/2006/relationships/image"/>
  <Relationship Id="rId6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2026-01-27T05:25:00Z</dcterms:created>
  <dcterms:modified xsi:type="dcterms:W3CDTF">2026-06-10T06:18:40Z</dcterms:modified>
</cp:coreProperties>
</file>